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6E16CED9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F77720">
        <w:rPr>
          <w:sz w:val="28"/>
          <w:szCs w:val="28"/>
        </w:rPr>
        <w:t>строительство и эксплуатация линейного объекта системы газоснабжения местного значения. Назначение сооружения -</w:t>
      </w:r>
      <w:r w:rsidR="007E0AEB">
        <w:rPr>
          <w:sz w:val="28"/>
          <w:szCs w:val="28"/>
        </w:rPr>
        <w:t xml:space="preserve">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11FC63D3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F77720">
        <w:rPr>
          <w:sz w:val="28"/>
          <w:szCs w:val="28"/>
        </w:rPr>
        <w:t>0000000:20881</w:t>
      </w:r>
      <w:r w:rsidR="00C753F2" w:rsidRPr="00C753F2">
        <w:rPr>
          <w:sz w:val="28"/>
          <w:szCs w:val="28"/>
        </w:rPr>
        <w:t xml:space="preserve">, местоположение: </w:t>
      </w:r>
      <w:r w:rsidR="004E295C" w:rsidRPr="004E295C">
        <w:rPr>
          <w:sz w:val="28"/>
          <w:szCs w:val="28"/>
        </w:rPr>
        <w:t>обл. Московская,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E295C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4360F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77720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2023-03-21T09:10:00Z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